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35A6E">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exact"/>
        <w:textAlignment w:val="auto"/>
        <w:rPr>
          <w:rFonts w:hint="eastAsia" w:ascii="Times New Roman" w:hAnsi="Times New Roman" w:eastAsia="宋体"/>
          <w:b/>
          <w:sz w:val="30"/>
          <w:szCs w:val="30"/>
          <w:lang w:val="en-US" w:eastAsia="zh-CN"/>
        </w:rPr>
      </w:pPr>
      <w:bookmarkStart w:id="0" w:name="_GoBack"/>
      <w:bookmarkEnd w:id="0"/>
      <w:r>
        <w:rPr>
          <w:rFonts w:hint="eastAsia" w:ascii="Times New Roman" w:hAnsi="Times New Roman"/>
          <w:b/>
          <w:sz w:val="30"/>
          <w:szCs w:val="30"/>
          <w:lang w:val="en-US" w:eastAsia="zh-CN"/>
        </w:rPr>
        <w:t>木质素染色液(间苯三酚法)说明书</w:t>
      </w:r>
    </w:p>
    <w:p w14:paraId="5AC9D73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sz w:val="22"/>
          <w:szCs w:val="22"/>
          <w:lang w:val="en-US" w:eastAsia="zh-CN"/>
        </w:rPr>
      </w:pPr>
      <w:r>
        <w:rPr>
          <w:rFonts w:ascii="Times New Roman" w:hAnsi="Times New Roman"/>
          <w:b/>
          <w:bCs w:val="0"/>
          <w:sz w:val="22"/>
          <w:szCs w:val="22"/>
        </w:rPr>
        <w:t>货号:</w:t>
      </w:r>
      <w:r>
        <w:rPr>
          <w:rFonts w:ascii="Times New Roman" w:hAnsi="Times New Roman"/>
          <w:sz w:val="22"/>
          <w:szCs w:val="22"/>
        </w:rPr>
        <w:t xml:space="preserve"> </w:t>
      </w:r>
      <w:r>
        <w:rPr>
          <w:rFonts w:hint="eastAsia" w:ascii="Times New Roman" w:hAnsi="Times New Roman"/>
          <w:sz w:val="22"/>
          <w:szCs w:val="22"/>
          <w:lang w:val="en-US" w:eastAsia="zh-CN"/>
        </w:rPr>
        <w:t>R03930</w:t>
      </w:r>
    </w:p>
    <w:p w14:paraId="4FE19572">
      <w:pPr>
        <w:keepNext w:val="0"/>
        <w:keepLines w:val="0"/>
        <w:pageBreakBefore w:val="0"/>
        <w:widowControl w:val="0"/>
        <w:tabs>
          <w:tab w:val="left" w:pos="6255"/>
        </w:tabs>
        <w:kinsoku/>
        <w:wordWrap/>
        <w:overflowPunct/>
        <w:topLinePunct w:val="0"/>
        <w:autoSpaceDE/>
        <w:autoSpaceDN/>
        <w:bidi w:val="0"/>
        <w:adjustRightInd/>
        <w:snapToGrid/>
        <w:spacing w:line="360" w:lineRule="exact"/>
        <w:textAlignment w:val="auto"/>
        <w:rPr>
          <w:rFonts w:hint="default" w:ascii="Times New Roman" w:hAnsi="Times New Roman" w:eastAsia="宋体"/>
          <w:b w:val="0"/>
          <w:bCs/>
          <w:sz w:val="22"/>
          <w:szCs w:val="22"/>
          <w:lang w:val="en-US" w:eastAsia="zh-CN"/>
        </w:rPr>
      </w:pPr>
      <w:r>
        <w:rPr>
          <w:rFonts w:ascii="Times New Roman" w:hAnsi="Times New Roman"/>
          <w:b/>
          <w:sz w:val="22"/>
          <w:szCs w:val="22"/>
          <w:lang w:val="en-US" w:eastAsia="zh-CN"/>
        </w:rPr>
        <w:fldChar w:fldCharType="begin"/>
      </w:r>
      <w:r>
        <w:rPr>
          <w:rFonts w:ascii="Times New Roman" w:hAnsi="Times New Roman"/>
          <w:b/>
          <w:sz w:val="22"/>
          <w:szCs w:val="22"/>
          <w:lang w:val="en-US" w:eastAsia="zh-CN"/>
        </w:rPr>
        <w:instrText xml:space="preserve"> HYPERLINK "https://www.nshf.com/D-Cloprostenol Sodium Injection for cows.html" </w:instrText>
      </w:r>
      <w:r>
        <w:rPr>
          <w:rFonts w:ascii="Times New Roman" w:hAnsi="Times New Roman"/>
          <w:b/>
          <w:sz w:val="22"/>
          <w:szCs w:val="22"/>
          <w:lang w:val="en-US" w:eastAsia="zh-CN"/>
        </w:rPr>
        <w:fldChar w:fldCharType="separate"/>
      </w:r>
      <w:r>
        <w:rPr>
          <w:rFonts w:hint="default" w:ascii="Times New Roman" w:hAnsi="Times New Roman"/>
          <w:b/>
          <w:sz w:val="22"/>
          <w:szCs w:val="22"/>
        </w:rPr>
        <w:t>规格</w:t>
      </w:r>
      <w:r>
        <w:rPr>
          <w:rFonts w:hint="default" w:ascii="Times New Roman" w:hAnsi="Times New Roman"/>
          <w:b/>
          <w:sz w:val="22"/>
          <w:szCs w:val="22"/>
          <w:lang w:val="en-US" w:eastAsia="zh-CN"/>
        </w:rPr>
        <w:fldChar w:fldCharType="end"/>
      </w:r>
      <w:r>
        <w:rPr>
          <w:rFonts w:ascii="Times New Roman" w:hAnsi="Times New Roman"/>
          <w:b/>
          <w:bCs w:val="0"/>
          <w:sz w:val="22"/>
          <w:szCs w:val="22"/>
        </w:rPr>
        <w:t>:</w:t>
      </w:r>
      <w:r>
        <w:rPr>
          <w:rFonts w:ascii="Times New Roman" w:hAnsi="Times New Roman"/>
          <w:sz w:val="22"/>
          <w:szCs w:val="22"/>
        </w:rPr>
        <w:t xml:space="preserve"> </w:t>
      </w:r>
      <w:r>
        <w:rPr>
          <w:rFonts w:hint="eastAsia" w:ascii="Times New Roman" w:hAnsi="Times New Roman"/>
          <w:sz w:val="22"/>
          <w:szCs w:val="22"/>
          <w:lang w:val="en-US" w:eastAsia="zh-CN"/>
        </w:rPr>
        <w:t>2</w:t>
      </w:r>
      <w:r>
        <w:rPr>
          <w:rFonts w:hint="eastAsia" w:ascii="Times New Roman" w:hAnsi="Times New Roman"/>
          <w:b/>
          <w:bCs/>
          <w:sz w:val="22"/>
          <w:szCs w:val="22"/>
          <w:vertAlign w:val="baseline"/>
          <w:lang w:val="en-US" w:eastAsia="zh-CN"/>
        </w:rPr>
        <w:t>×</w:t>
      </w:r>
      <w:r>
        <w:rPr>
          <w:rFonts w:hint="eastAsia" w:ascii="Times New Roman" w:hAnsi="Times New Roman"/>
          <w:sz w:val="22"/>
          <w:szCs w:val="22"/>
          <w:lang w:val="en-US" w:eastAsia="zh-CN"/>
        </w:rPr>
        <w:t>50ml</w:t>
      </w:r>
    </w:p>
    <w:p w14:paraId="007D6E66">
      <w:pPr>
        <w:tabs>
          <w:tab w:val="left" w:pos="6255"/>
        </w:tabs>
        <w:spacing w:line="320" w:lineRule="exact"/>
        <w:rPr>
          <w:rFonts w:hint="eastAsia" w:ascii="Times New Roman" w:hAnsi="Times New Roman"/>
          <w:sz w:val="22"/>
          <w:szCs w:val="22"/>
          <w:lang w:val="en-US" w:eastAsia="zh-CN"/>
        </w:rPr>
      </w:pPr>
      <w:r>
        <w:rPr>
          <w:rFonts w:hint="eastAsia" w:ascii="Times New Roman" w:hAnsi="Times New Roman"/>
          <w:b/>
          <w:sz w:val="22"/>
          <w:szCs w:val="22"/>
          <w:lang w:val="en-US" w:eastAsia="zh-CN"/>
        </w:rPr>
        <w:t>保存</w:t>
      </w:r>
      <w:r>
        <w:rPr>
          <w:rFonts w:ascii="Times New Roman" w:hAnsi="Times New Roman"/>
          <w:b/>
          <w:bCs w:val="0"/>
          <w:sz w:val="22"/>
          <w:szCs w:val="22"/>
        </w:rPr>
        <w:t>:</w:t>
      </w:r>
      <w:r>
        <w:rPr>
          <w:rFonts w:ascii="Times New Roman" w:hAnsi="Times New Roman"/>
          <w:sz w:val="22"/>
          <w:szCs w:val="22"/>
        </w:rPr>
        <w:t xml:space="preserve"> </w:t>
      </w:r>
      <w:r>
        <w:rPr>
          <w:rFonts w:hint="eastAsia" w:ascii="Times New Roman" w:hAnsi="Times New Roman"/>
          <w:sz w:val="22"/>
          <w:szCs w:val="22"/>
          <w:lang w:val="en-US" w:eastAsia="zh-CN"/>
        </w:rPr>
        <w:t>RT，避光保存，6个月</w:t>
      </w:r>
    </w:p>
    <w:p w14:paraId="1962A25B">
      <w:pPr>
        <w:tabs>
          <w:tab w:val="left" w:pos="6255"/>
        </w:tabs>
        <w:spacing w:line="320" w:lineRule="exact"/>
        <w:rPr>
          <w:rFonts w:hint="eastAsia" w:ascii="Times New Roman" w:hAnsi="Times New Roman"/>
          <w:b/>
          <w:bCs/>
          <w:sz w:val="22"/>
          <w:szCs w:val="22"/>
          <w:lang w:val="en-US" w:eastAsia="zh-CN"/>
        </w:rPr>
      </w:pPr>
      <w:r>
        <w:rPr>
          <w:rFonts w:hint="eastAsia" w:ascii="Times New Roman" w:hAnsi="Times New Roman"/>
          <w:b/>
          <w:bCs/>
          <w:sz w:val="22"/>
          <w:szCs w:val="22"/>
          <w:lang w:val="en-US" w:eastAsia="zh-CN"/>
        </w:rPr>
        <w:t>产品组成：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332"/>
        <w:gridCol w:w="3332"/>
        <w:gridCol w:w="3332"/>
      </w:tblGrid>
      <w:tr w14:paraId="7AFF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trPr>
        <w:tc>
          <w:tcPr>
            <w:tcW w:w="3332"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44366A93">
            <w:pPr>
              <w:tabs>
                <w:tab w:val="left" w:pos="6255"/>
              </w:tabs>
              <w:snapToGrid w:val="0"/>
              <w:spacing w:line="320" w:lineRule="exact"/>
              <w:rPr>
                <w:rFonts w:hint="eastAsia" w:ascii="Times New Roman" w:hAnsi="Times New Roman"/>
                <w:b/>
                <w:bCs/>
                <w:sz w:val="22"/>
                <w:szCs w:val="22"/>
                <w:vertAlign w:val="baseline"/>
                <w:lang w:val="en-US" w:eastAsia="zh-CN"/>
              </w:rPr>
            </w:pPr>
          </w:p>
          <w:p w14:paraId="04821257">
            <w:pPr>
              <w:tabs>
                <w:tab w:val="left" w:pos="6255"/>
              </w:tabs>
              <w:snapToGrid w:val="0"/>
              <w:spacing w:line="320" w:lineRule="exact"/>
              <mc:AlternateContent>
                <mc:Choice Requires="wpsCustomData">
                  <wpsCustomData:diagonalParaType/>
                </mc:Choice>
              </mc:AlternateContent>
              <w:rPr>
                <w:rFonts w:hint="default" w:ascii="Times New Roman" w:hAnsi="Times New Roman"/>
                <w:b/>
                <w:bCs/>
                <w:sz w:val="22"/>
                <w:szCs w:val="22"/>
                <w:vertAlign w:val="baseline"/>
                <w:lang w:val="en-US" w:eastAsia="zh-CN"/>
              </w:rPr>
            </w:pPr>
            <w:r>
              <w:rPr>
                <w:rFonts w:hint="eastAsia" w:ascii="Times New Roman" w:hAnsi="Times New Roman"/>
                <w:b/>
                <w:bCs/>
                <w:sz w:val="22"/>
                <w:szCs w:val="22"/>
                <w:vertAlign w:val="baseline"/>
                <w:lang w:val="en-US" w:eastAsia="zh-CN"/>
              </w:rPr>
              <w:t>名称</w:t>
            </w:r>
          </w:p>
          <w:p w14:paraId="132A546E">
            <w:pPr>
              <w:tabs>
                <w:tab w:val="left" w:pos="6255"/>
              </w:tabs>
              <w:spacing w:line="320" w:lineRule="exact"/>
              <w:ind w:firstLine="1104" w:firstLineChars="500"/>
              <w:rPr>
                <w:rFonts w:hint="default" w:ascii="Times New Roman" w:hAnsi="Times New Roman"/>
                <w:b/>
                <w:bCs/>
                <w:sz w:val="22"/>
                <w:szCs w:val="22"/>
                <w:vertAlign w:val="baseline"/>
                <w:lang w:val="en-US" w:eastAsia="zh-CN"/>
              </w:rPr>
            </w:pPr>
            <w:r>
              <w:rPr>
                <w:rFonts w:hint="eastAsia" w:ascii="Times New Roman" w:hAnsi="Times New Roman"/>
                <w:b/>
                <w:bCs/>
                <w:sz w:val="22"/>
                <w:szCs w:val="22"/>
                <w:vertAlign w:val="baseline"/>
                <w:lang w:val="en-US" w:eastAsia="zh-CN"/>
              </w:rPr>
              <w:t>规格</w:t>
            </w:r>
          </w:p>
        </w:tc>
        <w:tc>
          <w:tcPr>
            <w:tcW w:w="3332" w:type="dxa"/>
            <w:noWrap w:val="0"/>
            <w:vAlign w:val="top"/>
          </w:tcPr>
          <w:p w14:paraId="343C8CA4">
            <w:pPr>
              <w:tabs>
                <w:tab w:val="left" w:pos="6255"/>
              </w:tabs>
              <w:spacing w:line="320" w:lineRule="exact"/>
              <w:rPr>
                <w:rFonts w:hint="default" w:ascii="Times New Roman" w:hAnsi="Times New Roman"/>
                <w:b/>
                <w:bCs/>
                <w:sz w:val="22"/>
                <w:szCs w:val="22"/>
                <w:vertAlign w:val="baseline"/>
                <w:lang w:val="en-US" w:eastAsia="zh-CN"/>
              </w:rPr>
            </w:pPr>
            <w:r>
              <w:rPr>
                <w:rFonts w:hint="eastAsia" w:ascii="Times New Roman" w:hAnsi="Times New Roman"/>
                <w:b/>
                <w:bCs/>
                <w:sz w:val="22"/>
                <w:szCs w:val="22"/>
                <w:vertAlign w:val="baseline"/>
                <w:lang w:val="en-US" w:eastAsia="zh-CN"/>
              </w:rPr>
              <w:t>2×50ml</w:t>
            </w:r>
          </w:p>
        </w:tc>
        <w:tc>
          <w:tcPr>
            <w:tcW w:w="3332" w:type="dxa"/>
            <w:noWrap w:val="0"/>
            <w:vAlign w:val="top"/>
          </w:tcPr>
          <w:p w14:paraId="35B38132">
            <w:pPr>
              <w:tabs>
                <w:tab w:val="left" w:pos="6255"/>
              </w:tabs>
              <w:spacing w:line="320" w:lineRule="exact"/>
              <w:rPr>
                <w:rFonts w:hint="default" w:ascii="Times New Roman" w:hAnsi="Times New Roman"/>
                <w:b/>
                <w:bCs/>
                <w:sz w:val="22"/>
                <w:szCs w:val="22"/>
                <w:vertAlign w:val="baseline"/>
                <w:lang w:val="en-US" w:eastAsia="zh-CN"/>
              </w:rPr>
            </w:pPr>
            <w:r>
              <w:rPr>
                <w:rFonts w:hint="default" w:ascii="Times New Roman" w:hAnsi="Times New Roman"/>
                <w:b/>
                <w:bCs/>
                <w:sz w:val="22"/>
                <w:szCs w:val="22"/>
                <w:vertAlign w:val="baseline"/>
                <w:lang w:val="en-US" w:eastAsia="zh-CN"/>
              </w:rPr>
              <w:t>Storage</w:t>
            </w:r>
          </w:p>
        </w:tc>
      </w:tr>
      <w:tr w14:paraId="7011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noWrap w:val="0"/>
            <w:vAlign w:val="top"/>
          </w:tcPr>
          <w:p w14:paraId="115720E4">
            <w:pPr>
              <w:tabs>
                <w:tab w:val="left" w:pos="6255"/>
              </w:tabs>
              <w:spacing w:line="320" w:lineRule="exact"/>
              <w:rPr>
                <w:rFonts w:hint="default" w:ascii="Times New Roman" w:hAnsi="Times New Roman"/>
                <w:b/>
                <w:bCs/>
                <w:sz w:val="22"/>
                <w:szCs w:val="22"/>
                <w:vertAlign w:val="baseline"/>
                <w:lang w:val="en-US" w:eastAsia="zh-CN"/>
              </w:rPr>
            </w:pPr>
            <w:r>
              <w:rPr>
                <w:rFonts w:hint="default" w:ascii="Times New Roman" w:hAnsi="Times New Roman"/>
                <w:b/>
                <w:bCs/>
                <w:sz w:val="22"/>
                <w:szCs w:val="22"/>
                <w:vertAlign w:val="baseline"/>
                <w:lang w:val="en-US" w:eastAsia="zh-CN"/>
              </w:rPr>
              <w:t>试剂(</w:t>
            </w:r>
            <w:r>
              <w:rPr>
                <w:rFonts w:hint="eastAsia" w:ascii="Times New Roman" w:hAnsi="Times New Roman"/>
                <w:b/>
                <w:bCs/>
                <w:sz w:val="22"/>
                <w:szCs w:val="22"/>
                <w:vertAlign w:val="baseline"/>
                <w:lang w:val="en-US" w:eastAsia="zh-CN"/>
              </w:rPr>
              <w:t>A</w:t>
            </w:r>
            <w:r>
              <w:rPr>
                <w:rFonts w:hint="default" w:ascii="Times New Roman" w:hAnsi="Times New Roman"/>
                <w:b/>
                <w:bCs/>
                <w:sz w:val="22"/>
                <w:szCs w:val="22"/>
                <w:vertAlign w:val="baseline"/>
                <w:lang w:val="en-US" w:eastAsia="zh-CN"/>
              </w:rPr>
              <w:t>):间苯三酚染色液</w:t>
            </w:r>
          </w:p>
        </w:tc>
        <w:tc>
          <w:tcPr>
            <w:tcW w:w="3332" w:type="dxa"/>
            <w:noWrap w:val="0"/>
            <w:vAlign w:val="top"/>
          </w:tcPr>
          <w:p w14:paraId="48B90E60">
            <w:pPr>
              <w:tabs>
                <w:tab w:val="left" w:pos="6255"/>
              </w:tabs>
              <w:spacing w:line="320" w:lineRule="exact"/>
              <w:rPr>
                <w:rFonts w:hint="default" w:ascii="Times New Roman" w:hAnsi="Times New Roman"/>
                <w:b w:val="0"/>
                <w:bCs w:val="0"/>
                <w:sz w:val="22"/>
                <w:szCs w:val="22"/>
                <w:vertAlign w:val="baseline"/>
                <w:lang w:val="en-US" w:eastAsia="zh-CN"/>
              </w:rPr>
            </w:pPr>
            <w:r>
              <w:rPr>
                <w:rFonts w:hint="default" w:ascii="Times New Roman" w:hAnsi="Times New Roman"/>
                <w:b w:val="0"/>
                <w:bCs w:val="0"/>
                <w:sz w:val="22"/>
                <w:szCs w:val="22"/>
                <w:vertAlign w:val="baseline"/>
                <w:lang w:val="en-US" w:eastAsia="zh-CN"/>
              </w:rPr>
              <w:t>50ml</w:t>
            </w:r>
          </w:p>
        </w:tc>
        <w:tc>
          <w:tcPr>
            <w:tcW w:w="3332" w:type="dxa"/>
            <w:noWrap w:val="0"/>
            <w:vAlign w:val="top"/>
          </w:tcPr>
          <w:p w14:paraId="6532C538">
            <w:pPr>
              <w:tabs>
                <w:tab w:val="left" w:pos="6255"/>
              </w:tabs>
              <w:spacing w:line="320" w:lineRule="exact"/>
              <w:rPr>
                <w:rFonts w:hint="default" w:ascii="Times New Roman" w:hAnsi="Times New Roman"/>
                <w:b w:val="0"/>
                <w:bCs w:val="0"/>
                <w:sz w:val="22"/>
                <w:szCs w:val="22"/>
                <w:vertAlign w:val="baseline"/>
                <w:lang w:val="en-US" w:eastAsia="zh-CN"/>
              </w:rPr>
            </w:pPr>
            <w:r>
              <w:rPr>
                <w:rFonts w:hint="default" w:ascii="Times New Roman" w:hAnsi="Times New Roman"/>
                <w:b w:val="0"/>
                <w:bCs w:val="0"/>
                <w:sz w:val="22"/>
                <w:szCs w:val="22"/>
                <w:vertAlign w:val="baseline"/>
                <w:lang w:val="en-US" w:eastAsia="zh-CN"/>
              </w:rPr>
              <w:t>RT 避光</w:t>
            </w:r>
          </w:p>
        </w:tc>
      </w:tr>
      <w:tr w14:paraId="7467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noWrap w:val="0"/>
            <w:vAlign w:val="top"/>
          </w:tcPr>
          <w:p w14:paraId="0691DB78">
            <w:pPr>
              <w:tabs>
                <w:tab w:val="left" w:pos="6255"/>
              </w:tabs>
              <w:spacing w:line="320" w:lineRule="exact"/>
              <w:rPr>
                <w:rFonts w:hint="default" w:ascii="Times New Roman" w:hAnsi="Times New Roman" w:eastAsia="宋体" w:cs="Times New Roman"/>
                <w:b/>
                <w:bCs/>
                <w:kern w:val="2"/>
                <w:sz w:val="22"/>
                <w:szCs w:val="22"/>
                <w:vertAlign w:val="baseline"/>
                <w:lang w:val="en-US" w:eastAsia="zh-CN" w:bidi="ar-SA"/>
              </w:rPr>
            </w:pPr>
            <w:r>
              <w:rPr>
                <w:rFonts w:hint="eastAsia" w:ascii="Times New Roman" w:hAnsi="Times New Roman" w:cs="Times New Roman"/>
                <w:b/>
                <w:bCs/>
                <w:kern w:val="2"/>
                <w:sz w:val="22"/>
                <w:szCs w:val="22"/>
                <w:vertAlign w:val="baseline"/>
                <w:lang w:val="en-US" w:eastAsia="zh-CN" w:bidi="ar-SA"/>
              </w:rPr>
              <w:t>试剂(B):封固剂</w:t>
            </w:r>
          </w:p>
        </w:tc>
        <w:tc>
          <w:tcPr>
            <w:tcW w:w="3332" w:type="dxa"/>
            <w:noWrap w:val="0"/>
            <w:vAlign w:val="top"/>
          </w:tcPr>
          <w:p w14:paraId="51460BE3">
            <w:pPr>
              <w:tabs>
                <w:tab w:val="left" w:pos="6255"/>
              </w:tabs>
              <w:spacing w:line="320" w:lineRule="exact"/>
              <w:rPr>
                <w:rFonts w:hint="default" w:ascii="Times New Roman" w:hAnsi="Times New Roman" w:eastAsia="宋体" w:cs="Times New Roman"/>
                <w:b w:val="0"/>
                <w:bCs w:val="0"/>
                <w:kern w:val="2"/>
                <w:sz w:val="22"/>
                <w:szCs w:val="22"/>
                <w:vertAlign w:val="baseline"/>
                <w:lang w:val="en-US" w:eastAsia="zh-CN" w:bidi="ar-SA"/>
              </w:rPr>
            </w:pPr>
            <w:r>
              <w:rPr>
                <w:rFonts w:hint="default" w:ascii="Times New Roman" w:hAnsi="Times New Roman"/>
                <w:b w:val="0"/>
                <w:bCs w:val="0"/>
                <w:sz w:val="22"/>
                <w:szCs w:val="22"/>
                <w:vertAlign w:val="baseline"/>
                <w:lang w:val="en-US" w:eastAsia="zh-CN"/>
              </w:rPr>
              <w:t>50ml</w:t>
            </w:r>
          </w:p>
        </w:tc>
        <w:tc>
          <w:tcPr>
            <w:tcW w:w="3332" w:type="dxa"/>
            <w:noWrap w:val="0"/>
            <w:vAlign w:val="top"/>
          </w:tcPr>
          <w:p w14:paraId="07200488">
            <w:pPr>
              <w:tabs>
                <w:tab w:val="left" w:pos="6255"/>
              </w:tabs>
              <w:spacing w:line="320" w:lineRule="exact"/>
              <w:rPr>
                <w:rFonts w:hint="default" w:ascii="Times New Roman" w:hAnsi="Times New Roman" w:eastAsia="宋体" w:cs="Times New Roman"/>
                <w:b w:val="0"/>
                <w:bCs w:val="0"/>
                <w:kern w:val="2"/>
                <w:sz w:val="22"/>
                <w:szCs w:val="22"/>
                <w:vertAlign w:val="baseline"/>
                <w:lang w:val="en-US" w:eastAsia="zh-CN" w:bidi="ar-SA"/>
              </w:rPr>
            </w:pPr>
            <w:r>
              <w:rPr>
                <w:rFonts w:hint="default" w:ascii="Times New Roman" w:hAnsi="Times New Roman"/>
                <w:b w:val="0"/>
                <w:bCs w:val="0"/>
                <w:sz w:val="22"/>
                <w:szCs w:val="22"/>
                <w:vertAlign w:val="baseline"/>
                <w:lang w:val="en-US" w:eastAsia="zh-CN"/>
              </w:rPr>
              <w:t>RT</w:t>
            </w:r>
          </w:p>
        </w:tc>
      </w:tr>
      <w:tr w14:paraId="4B78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996" w:type="dxa"/>
            <w:gridSpan w:val="3"/>
            <w:noWrap w:val="0"/>
            <w:vAlign w:val="top"/>
          </w:tcPr>
          <w:p w14:paraId="08537140">
            <w:pPr>
              <w:tabs>
                <w:tab w:val="left" w:pos="6255"/>
              </w:tabs>
              <w:spacing w:line="320" w:lineRule="exact"/>
              <w:rPr>
                <w:rFonts w:hint="default" w:ascii="Times New Roman" w:hAnsi="Times New Roman"/>
                <w:b w:val="0"/>
                <w:bCs w:val="0"/>
                <w:sz w:val="22"/>
                <w:szCs w:val="22"/>
                <w:vertAlign w:val="baseline"/>
                <w:lang w:val="en-US" w:eastAsia="zh-CN"/>
              </w:rPr>
            </w:pPr>
            <w:r>
              <w:rPr>
                <w:rFonts w:hint="eastAsia" w:ascii="Times New Roman" w:hAnsi="Times New Roman"/>
                <w:b/>
                <w:bCs/>
                <w:sz w:val="22"/>
                <w:szCs w:val="22"/>
                <w:vertAlign w:val="baseline"/>
                <w:lang w:val="en-US" w:eastAsia="zh-CN"/>
              </w:rPr>
              <w:t>自备材料：浓盐酸</w:t>
            </w:r>
          </w:p>
        </w:tc>
      </w:tr>
    </w:tbl>
    <w:p w14:paraId="4B3A4B19">
      <w:pPr>
        <w:keepNext w:val="0"/>
        <w:keepLines w:val="0"/>
        <w:pageBreakBefore w:val="0"/>
        <w:widowControl w:val="0"/>
        <w:tabs>
          <w:tab w:val="left" w:pos="6255"/>
        </w:tabs>
        <w:kinsoku/>
        <w:wordWrap/>
        <w:overflowPunct/>
        <w:topLinePunct w:val="0"/>
        <w:autoSpaceDE/>
        <w:autoSpaceDN/>
        <w:bidi w:val="0"/>
        <w:adjustRightInd/>
        <w:snapToGrid/>
        <w:spacing w:before="157" w:beforeLines="50" w:line="320" w:lineRule="exact"/>
        <w:textAlignment w:val="auto"/>
        <w:rPr>
          <w:rFonts w:ascii="Times New Roman" w:hAnsi="Times New Roman"/>
          <w:b/>
          <w:sz w:val="22"/>
          <w:szCs w:val="22"/>
        </w:rPr>
      </w:pPr>
      <w:r>
        <w:rPr>
          <w:rFonts w:ascii="Times New Roman" w:hAnsi="Times New Roman"/>
          <w:b/>
          <w:sz w:val="22"/>
          <w:szCs w:val="22"/>
        </w:rPr>
        <w:t>产品说明</w:t>
      </w:r>
      <w:r>
        <w:rPr>
          <w:rFonts w:hint="eastAsia" w:ascii="Times New Roman" w:hAnsi="Times New Roman"/>
          <w:b/>
          <w:sz w:val="22"/>
          <w:szCs w:val="22"/>
          <w:lang w:eastAsia="zh-CN"/>
        </w:rPr>
        <w:t>（</w:t>
      </w:r>
      <w:r>
        <w:rPr>
          <w:rFonts w:hint="eastAsia" w:ascii="Times New Roman" w:hAnsi="Times New Roman"/>
          <w:b/>
          <w:sz w:val="22"/>
          <w:szCs w:val="22"/>
          <w:lang w:val="en-US" w:eastAsia="zh-CN"/>
        </w:rPr>
        <w:t>仅供参考</w:t>
      </w:r>
      <w:r>
        <w:rPr>
          <w:rFonts w:hint="eastAsia" w:ascii="Times New Roman" w:hAnsi="Times New Roman"/>
          <w:b/>
          <w:sz w:val="22"/>
          <w:szCs w:val="22"/>
          <w:lang w:eastAsia="zh-CN"/>
        </w:rPr>
        <w:t>）</w:t>
      </w:r>
      <w:r>
        <w:rPr>
          <w:rFonts w:ascii="Times New Roman" w:hAnsi="Times New Roman"/>
          <w:b/>
          <w:sz w:val="22"/>
          <w:szCs w:val="22"/>
        </w:rPr>
        <w:t>:</w:t>
      </w:r>
    </w:p>
    <w:p w14:paraId="29B963A4">
      <w:pPr>
        <w:spacing w:line="320" w:lineRule="exact"/>
        <w:ind w:firstLine="440" w:firstLineChars="200"/>
        <w:rPr>
          <w:rFonts w:hint="eastAsia" w:ascii="Times New Roman" w:hAnsi="Times New Roman"/>
          <w:sz w:val="22"/>
          <w:szCs w:val="22"/>
        </w:rPr>
      </w:pPr>
      <w:r>
        <w:rPr>
          <w:rFonts w:hint="eastAsia" w:ascii="Times New Roman" w:hAnsi="Times New Roman"/>
          <w:sz w:val="22"/>
          <w:szCs w:val="22"/>
        </w:rPr>
        <w:t>木质素是三种苯丙烷单元通过醚键和碳碳键相互连接形成的具有三维网状结构的生物高分子，存在于木质组织中，主要作用是通过形成交织网来硬化细胞壁，为次生壁主要成分。木质素主要位于纤维素纤维之间，起抗压作用，在木本植物中木质素占 25%，是世界上第二位最丰富的有机物，由于自然界中木质素与纤维素、半纤维素等往往相互连接，形成木质素-碳水化合物复合体(Lignin-Carbohydrate Complex），故目前没有办法分离得到结构完全不受破坏的原本木质素。</w:t>
      </w:r>
    </w:p>
    <w:p w14:paraId="165986EF">
      <w:pPr>
        <w:spacing w:line="320" w:lineRule="exact"/>
        <w:ind w:firstLine="440" w:firstLineChars="200"/>
        <w:rPr>
          <w:rFonts w:ascii="Times New Roman" w:hAnsi="Times New Roman"/>
          <w:sz w:val="22"/>
          <w:szCs w:val="22"/>
        </w:rPr>
      </w:pPr>
      <w:r>
        <w:rPr>
          <w:rFonts w:hint="eastAsia" w:ascii="Times New Roman" w:hAnsi="Times New Roman"/>
          <w:sz w:val="22"/>
          <w:szCs w:val="22"/>
        </w:rPr>
        <w:t>木质素染色液(间苯三酚法)利用间苯三酚显色，染色后木质化的细胞壁呈红色，该染色法是最简便的检测植物细胞壁的木质素的显微化学法，但该染色会随着时间逐渐褪色，因此不适用于作永久制片。该试剂仅用于科研领域，不适用于临床诊断或其他用途</w:t>
      </w:r>
    </w:p>
    <w:p w14:paraId="5D35E27C">
      <w:pPr>
        <w:spacing w:line="320" w:lineRule="exact"/>
        <w:rPr>
          <w:rFonts w:hint="eastAsia" w:ascii="Times New Roman" w:hAnsi="Times New Roman"/>
          <w:b/>
          <w:bCs/>
          <w:sz w:val="22"/>
          <w:szCs w:val="22"/>
          <w:lang w:val="en-US" w:eastAsia="zh-CN"/>
        </w:rPr>
      </w:pPr>
      <w:r>
        <w:rPr>
          <w:rFonts w:hint="eastAsia" w:ascii="Times New Roman" w:hAnsi="Times New Roman"/>
          <w:b/>
          <w:bCs/>
          <w:sz w:val="22"/>
          <w:szCs w:val="22"/>
          <w:lang w:val="en-US" w:eastAsia="zh-CN"/>
        </w:rPr>
        <w:t>产品使用说明（仅供参考）:</w:t>
      </w:r>
    </w:p>
    <w:p w14:paraId="6907D8C5">
      <w:pPr>
        <w:spacing w:line="320" w:lineRule="exact"/>
        <w:rPr>
          <w:rFonts w:hint="eastAsia" w:ascii="Times New Roman" w:hAnsi="Times New Roman"/>
          <w:b/>
          <w:bCs/>
          <w:sz w:val="22"/>
          <w:szCs w:val="22"/>
          <w:lang w:val="en-US" w:eastAsia="zh-CN"/>
        </w:rPr>
      </w:pPr>
      <w:r>
        <w:rPr>
          <w:rFonts w:hint="eastAsia" w:ascii="Times New Roman" w:hAnsi="Times New Roman"/>
          <w:b/>
          <w:bCs/>
          <w:sz w:val="22"/>
          <w:szCs w:val="22"/>
          <w:lang w:val="en-US" w:eastAsia="zh-CN"/>
        </w:rPr>
        <w:t>自备材料：</w:t>
      </w:r>
    </w:p>
    <w:p w14:paraId="3ABCAAFC">
      <w:pPr>
        <w:numPr>
          <w:ilvl w:val="0"/>
          <w:numId w:val="1"/>
        </w:numPr>
        <w:spacing w:line="320" w:lineRule="exact"/>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载玻片、盖玻片、显微镜、浓盐酸</w:t>
      </w:r>
    </w:p>
    <w:p w14:paraId="34097895">
      <w:pPr>
        <w:numPr>
          <w:ilvl w:val="0"/>
          <w:numId w:val="0"/>
        </w:numPr>
        <w:spacing w:line="320" w:lineRule="exact"/>
        <w:rPr>
          <w:rFonts w:hint="eastAsia" w:ascii="Times New Roman" w:hAnsi="Times New Roman"/>
          <w:b/>
          <w:bCs/>
          <w:sz w:val="22"/>
          <w:szCs w:val="22"/>
          <w:lang w:val="en-US" w:eastAsia="zh-CN"/>
        </w:rPr>
      </w:pPr>
      <w:r>
        <w:rPr>
          <w:rFonts w:hint="eastAsia" w:ascii="Times New Roman" w:hAnsi="Times New Roman"/>
          <w:b/>
          <w:bCs/>
          <w:sz w:val="22"/>
          <w:szCs w:val="22"/>
          <w:lang w:val="en-US" w:eastAsia="zh-CN"/>
        </w:rPr>
        <w:t>操作步骤(仅供参考)：</w:t>
      </w:r>
    </w:p>
    <w:p w14:paraId="1C1E029E">
      <w:pPr>
        <w:numPr>
          <w:ilvl w:val="0"/>
          <w:numId w:val="2"/>
        </w:numPr>
        <w:spacing w:line="320" w:lineRule="exact"/>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将切好的切片材料置于载玻片上，滴加 50～100μL 间苯三酚染色液，稍放置浸透材料。</w:t>
      </w:r>
    </w:p>
    <w:p w14:paraId="4261B2CC">
      <w:pPr>
        <w:numPr>
          <w:ilvl w:val="0"/>
          <w:numId w:val="2"/>
        </w:numPr>
        <w:spacing w:line="320" w:lineRule="exact"/>
        <w:ind w:left="0" w:leftChars="0" w:firstLine="0" w:firstLineChars="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在上述材料中滴加等量浓盐酸，稍放置。</w:t>
      </w:r>
    </w:p>
    <w:p w14:paraId="19E72410">
      <w:pPr>
        <w:numPr>
          <w:ilvl w:val="0"/>
          <w:numId w:val="2"/>
        </w:numPr>
        <w:spacing w:line="320" w:lineRule="exact"/>
        <w:ind w:left="0" w:leftChars="0" w:firstLine="0" w:firstLineChars="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当红色显出时，立即用吸水纸吸去溶液，并滴加封固剂，盖上盖玻片，显微镜下观察。</w:t>
      </w:r>
    </w:p>
    <w:p w14:paraId="6CEE5659">
      <w:pPr>
        <w:numPr>
          <w:ilvl w:val="0"/>
          <w:numId w:val="0"/>
        </w:numPr>
        <w:spacing w:line="320" w:lineRule="exact"/>
        <w:ind w:leftChars="0"/>
        <w:rPr>
          <w:rFonts w:hint="eastAsia" w:ascii="Times New Roman" w:hAnsi="Times New Roman"/>
          <w:b/>
          <w:bCs/>
          <w:sz w:val="22"/>
          <w:szCs w:val="22"/>
          <w:lang w:val="en-US" w:eastAsia="zh-CN"/>
        </w:rPr>
      </w:pPr>
      <w:r>
        <w:rPr>
          <w:rFonts w:hint="eastAsia" w:ascii="Times New Roman" w:hAnsi="Times New Roman"/>
          <w:b/>
          <w:bCs/>
          <w:sz w:val="22"/>
          <w:szCs w:val="22"/>
          <w:lang w:val="en-US" w:eastAsia="zh-CN"/>
        </w:rPr>
        <w:t>注意事项：</w:t>
      </w:r>
    </w:p>
    <w:p w14:paraId="3A5276DB">
      <w:pPr>
        <w:numPr>
          <w:ilvl w:val="0"/>
          <w:numId w:val="3"/>
        </w:numPr>
        <w:spacing w:line="320" w:lineRule="exact"/>
        <w:ind w:leftChars="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木质化程度越强，颜色越深。</w:t>
      </w:r>
    </w:p>
    <w:p w14:paraId="5666C1D5">
      <w:pPr>
        <w:numPr>
          <w:ilvl w:val="0"/>
          <w:numId w:val="3"/>
        </w:numPr>
        <w:spacing w:line="320" w:lineRule="exact"/>
        <w:ind w:left="0" w:leftChars="0" w:firstLine="0" w:firstLineChars="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一般建议使用徒手切片或者冰冻切片，保持样本内容物的完整性。</w:t>
      </w:r>
    </w:p>
    <w:p w14:paraId="3BE08E4D">
      <w:pPr>
        <w:numPr>
          <w:ilvl w:val="0"/>
          <w:numId w:val="3"/>
        </w:numPr>
        <w:spacing w:line="320" w:lineRule="exact"/>
        <w:ind w:left="0" w:leftChars="0" w:firstLine="0" w:firstLineChars="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尽量避免使用石蜡切片，可能因石蜡包埋过程复杂导致木质素丢失。</w:t>
      </w:r>
    </w:p>
    <w:p w14:paraId="67504AF9">
      <w:pPr>
        <w:numPr>
          <w:ilvl w:val="0"/>
          <w:numId w:val="3"/>
        </w:numPr>
        <w:spacing w:line="320" w:lineRule="exact"/>
        <w:ind w:left="0" w:leftChars="0" w:firstLine="0" w:firstLineChars="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染色会随着时间逐渐褪色，因此不适用于作永久制片。</w:t>
      </w:r>
    </w:p>
    <w:p w14:paraId="77422CD9">
      <w:pPr>
        <w:numPr>
          <w:ilvl w:val="0"/>
          <w:numId w:val="0"/>
        </w:numPr>
        <w:spacing w:line="320" w:lineRule="exact"/>
        <w:ind w:leftChars="0"/>
        <w:rPr>
          <w:rFonts w:hint="eastAsia" w:ascii="Times New Roman" w:hAnsi="Times New Roman"/>
          <w:b w:val="0"/>
          <w:bCs w:val="0"/>
          <w:sz w:val="22"/>
          <w:szCs w:val="22"/>
          <w:lang w:val="en-US" w:eastAsia="zh-CN"/>
        </w:rPr>
      </w:pPr>
      <w:r>
        <w:rPr>
          <w:rFonts w:hint="eastAsia" w:ascii="Times New Roman" w:hAnsi="Times New Roman"/>
          <w:b w:val="0"/>
          <w:bCs w:val="0"/>
          <w:sz w:val="22"/>
          <w:szCs w:val="22"/>
          <w:lang w:val="en-US" w:eastAsia="zh-CN"/>
        </w:rPr>
        <w:t>5、浓盐酸有一定危险性，请小心操作。</w:t>
      </w:r>
    </w:p>
    <w:p w14:paraId="1ED57BD3">
      <w:pPr>
        <w:numPr>
          <w:ilvl w:val="0"/>
          <w:numId w:val="0"/>
        </w:numPr>
        <w:spacing w:line="360" w:lineRule="exact"/>
        <w:rPr>
          <w:rFonts w:ascii="Times New Roman" w:hAnsi="Times New Roman"/>
          <w:sz w:val="24"/>
          <w:szCs w:val="24"/>
        </w:rPr>
      </w:pPr>
      <w:r>
        <w:rPr>
          <w:rFonts w:hint="eastAsia" w:ascii="Times New Roman" w:hAnsi="Times New Roman" w:cs="Times New Roman"/>
          <w:sz w:val="22"/>
          <w:szCs w:val="22"/>
          <w:lang w:val="en-US" w:eastAsia="zh-CN"/>
        </w:rPr>
        <w:t>6、我司生产的生化试剂如无特殊标注，基本为非无菌包装，若用于细胞实验，请提前做好预处理。需低温保存的产品，一旦配成溶液，请分装保存，避免反复冻融造成的产品失效。</w:t>
      </w:r>
    </w:p>
    <w:sectPr>
      <w:footerReference r:id="rId3" w:type="default"/>
      <w:pgSz w:w="11906" w:h="16838"/>
      <w:pgMar w:top="1701" w:right="1134" w:bottom="2642" w:left="992" w:header="907"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E2B5">
    <w:pPr>
      <w:pStyle w:val="3"/>
      <w:tabs>
        <w:tab w:val="center" w:pos="4890"/>
        <w:tab w:val="left" w:pos="8041"/>
      </w:tabs>
      <w:spacing w:beforeLines="78"/>
    </w:pPr>
    <w:r>
      <w:tab/>
    </w:r>
    <w:r>
      <w:tab/>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r>
      <w:tab/>
    </w:r>
  </w:p>
  <w:p w14:paraId="6BB4810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B6682"/>
    <w:multiLevelType w:val="singleLevel"/>
    <w:tmpl w:val="D62B6682"/>
    <w:lvl w:ilvl="0" w:tentative="0">
      <w:start w:val="1"/>
      <w:numFmt w:val="decimal"/>
      <w:suff w:val="nothing"/>
      <w:lvlText w:val="%1、"/>
      <w:lvlJc w:val="left"/>
    </w:lvl>
  </w:abstractNum>
  <w:abstractNum w:abstractNumId="1">
    <w:nsid w:val="EB99F8DB"/>
    <w:multiLevelType w:val="singleLevel"/>
    <w:tmpl w:val="EB99F8DB"/>
    <w:lvl w:ilvl="0" w:tentative="0">
      <w:start w:val="1"/>
      <w:numFmt w:val="decimal"/>
      <w:suff w:val="nothing"/>
      <w:lvlText w:val="%1、"/>
      <w:lvlJc w:val="left"/>
    </w:lvl>
  </w:abstractNum>
  <w:abstractNum w:abstractNumId="2">
    <w:nsid w:val="3D2C5B78"/>
    <w:multiLevelType w:val="singleLevel"/>
    <w:tmpl w:val="3D2C5B7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M4ZDg4YzkwOWRjNGE1MGI3N2Y3NDE0MzZhNTFkNjMifQ=="/>
  </w:docVars>
  <w:rsids>
    <w:rsidRoot w:val="001E3987"/>
    <w:rsid w:val="0001092B"/>
    <w:rsid w:val="0002018E"/>
    <w:rsid w:val="000B2B19"/>
    <w:rsid w:val="000B3FC7"/>
    <w:rsid w:val="000F0800"/>
    <w:rsid w:val="00124489"/>
    <w:rsid w:val="0018448B"/>
    <w:rsid w:val="00192132"/>
    <w:rsid w:val="001C2D38"/>
    <w:rsid w:val="001C4342"/>
    <w:rsid w:val="001D76F2"/>
    <w:rsid w:val="001E3987"/>
    <w:rsid w:val="002177B6"/>
    <w:rsid w:val="00236BF6"/>
    <w:rsid w:val="002464A9"/>
    <w:rsid w:val="00266604"/>
    <w:rsid w:val="00272FF0"/>
    <w:rsid w:val="00283161"/>
    <w:rsid w:val="0029568F"/>
    <w:rsid w:val="002A18B8"/>
    <w:rsid w:val="002A77FF"/>
    <w:rsid w:val="002D3D03"/>
    <w:rsid w:val="002D7517"/>
    <w:rsid w:val="00326F1C"/>
    <w:rsid w:val="00360674"/>
    <w:rsid w:val="0037055A"/>
    <w:rsid w:val="0039231B"/>
    <w:rsid w:val="003D59D6"/>
    <w:rsid w:val="003E6B71"/>
    <w:rsid w:val="00482155"/>
    <w:rsid w:val="004A54F5"/>
    <w:rsid w:val="004B665D"/>
    <w:rsid w:val="004E5C2F"/>
    <w:rsid w:val="00545D98"/>
    <w:rsid w:val="005C7055"/>
    <w:rsid w:val="005C7FDB"/>
    <w:rsid w:val="005E289E"/>
    <w:rsid w:val="005E672B"/>
    <w:rsid w:val="00617E30"/>
    <w:rsid w:val="006256AD"/>
    <w:rsid w:val="00636694"/>
    <w:rsid w:val="006745E8"/>
    <w:rsid w:val="006A3AAC"/>
    <w:rsid w:val="006B77C9"/>
    <w:rsid w:val="006C5688"/>
    <w:rsid w:val="006C7016"/>
    <w:rsid w:val="007127A4"/>
    <w:rsid w:val="007347F5"/>
    <w:rsid w:val="00766046"/>
    <w:rsid w:val="00784E6E"/>
    <w:rsid w:val="007A63C6"/>
    <w:rsid w:val="007B3C18"/>
    <w:rsid w:val="007E0603"/>
    <w:rsid w:val="007E5C3A"/>
    <w:rsid w:val="007E690D"/>
    <w:rsid w:val="00801B96"/>
    <w:rsid w:val="00806AA5"/>
    <w:rsid w:val="0082087E"/>
    <w:rsid w:val="00840011"/>
    <w:rsid w:val="00854D41"/>
    <w:rsid w:val="008719D4"/>
    <w:rsid w:val="00873F75"/>
    <w:rsid w:val="0087633B"/>
    <w:rsid w:val="0088685E"/>
    <w:rsid w:val="008E7DE4"/>
    <w:rsid w:val="009021C3"/>
    <w:rsid w:val="009E6ACD"/>
    <w:rsid w:val="009F0561"/>
    <w:rsid w:val="009F4F3C"/>
    <w:rsid w:val="00A012FE"/>
    <w:rsid w:val="00A160DD"/>
    <w:rsid w:val="00A265C1"/>
    <w:rsid w:val="00AB7A19"/>
    <w:rsid w:val="00AD2A42"/>
    <w:rsid w:val="00AF3218"/>
    <w:rsid w:val="00B05064"/>
    <w:rsid w:val="00B21B83"/>
    <w:rsid w:val="00B82AD5"/>
    <w:rsid w:val="00BB71AD"/>
    <w:rsid w:val="00BC362B"/>
    <w:rsid w:val="00BC6D74"/>
    <w:rsid w:val="00BE17D9"/>
    <w:rsid w:val="00C20BAB"/>
    <w:rsid w:val="00C935A0"/>
    <w:rsid w:val="00CC46B0"/>
    <w:rsid w:val="00CD2FC3"/>
    <w:rsid w:val="00CD3D3D"/>
    <w:rsid w:val="00D35498"/>
    <w:rsid w:val="00D358B5"/>
    <w:rsid w:val="00D65482"/>
    <w:rsid w:val="00D67C31"/>
    <w:rsid w:val="00DA2601"/>
    <w:rsid w:val="00DB2DE7"/>
    <w:rsid w:val="00DC1562"/>
    <w:rsid w:val="00DD6B3A"/>
    <w:rsid w:val="00DF410F"/>
    <w:rsid w:val="00E003DA"/>
    <w:rsid w:val="00E01D85"/>
    <w:rsid w:val="00E531D9"/>
    <w:rsid w:val="00E54F92"/>
    <w:rsid w:val="00E56AD5"/>
    <w:rsid w:val="00E63F46"/>
    <w:rsid w:val="00E6509F"/>
    <w:rsid w:val="00E8106F"/>
    <w:rsid w:val="00EC40A3"/>
    <w:rsid w:val="00ED5249"/>
    <w:rsid w:val="00EE28BD"/>
    <w:rsid w:val="00F05E6D"/>
    <w:rsid w:val="00F34B2E"/>
    <w:rsid w:val="00F37944"/>
    <w:rsid w:val="00FD4826"/>
    <w:rsid w:val="02D212D8"/>
    <w:rsid w:val="03196F07"/>
    <w:rsid w:val="040F6715"/>
    <w:rsid w:val="04736AA8"/>
    <w:rsid w:val="0552699D"/>
    <w:rsid w:val="076650D7"/>
    <w:rsid w:val="07FB575E"/>
    <w:rsid w:val="08EE5A47"/>
    <w:rsid w:val="0B920D42"/>
    <w:rsid w:val="0BD648CC"/>
    <w:rsid w:val="0CD13741"/>
    <w:rsid w:val="0F457C03"/>
    <w:rsid w:val="100D1BA1"/>
    <w:rsid w:val="15512530"/>
    <w:rsid w:val="17AF7ECB"/>
    <w:rsid w:val="17B44FF8"/>
    <w:rsid w:val="17EA6EBD"/>
    <w:rsid w:val="180C6BE2"/>
    <w:rsid w:val="19B71113"/>
    <w:rsid w:val="19C07C84"/>
    <w:rsid w:val="1A2C70C8"/>
    <w:rsid w:val="1D0111C6"/>
    <w:rsid w:val="20024E90"/>
    <w:rsid w:val="205940BA"/>
    <w:rsid w:val="21FC7CC7"/>
    <w:rsid w:val="23B773EB"/>
    <w:rsid w:val="29C8124D"/>
    <w:rsid w:val="2CA3261D"/>
    <w:rsid w:val="2FE9188B"/>
    <w:rsid w:val="31714EA1"/>
    <w:rsid w:val="37B7401D"/>
    <w:rsid w:val="383A69FC"/>
    <w:rsid w:val="39700802"/>
    <w:rsid w:val="39D31333"/>
    <w:rsid w:val="39EE6EF2"/>
    <w:rsid w:val="3B846932"/>
    <w:rsid w:val="3C187147"/>
    <w:rsid w:val="41CA7043"/>
    <w:rsid w:val="42FF677C"/>
    <w:rsid w:val="442A0DE4"/>
    <w:rsid w:val="473632F0"/>
    <w:rsid w:val="4AA77A7C"/>
    <w:rsid w:val="4C432CB5"/>
    <w:rsid w:val="4CCA54F6"/>
    <w:rsid w:val="4D2A0650"/>
    <w:rsid w:val="50AB5488"/>
    <w:rsid w:val="510E6463"/>
    <w:rsid w:val="52546BE0"/>
    <w:rsid w:val="5264494A"/>
    <w:rsid w:val="56552F27"/>
    <w:rsid w:val="5EB5012B"/>
    <w:rsid w:val="64356146"/>
    <w:rsid w:val="66816158"/>
    <w:rsid w:val="69286279"/>
    <w:rsid w:val="6942558D"/>
    <w:rsid w:val="6B4B38DD"/>
    <w:rsid w:val="6C433933"/>
    <w:rsid w:val="6DAF4E88"/>
    <w:rsid w:val="6FBB2384"/>
    <w:rsid w:val="712F47EA"/>
    <w:rsid w:val="73376795"/>
    <w:rsid w:val="73D1598E"/>
    <w:rsid w:val="75344C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alloon Text"/>
    <w:basedOn w:val="1"/>
    <w:link w:val="11"/>
    <w:unhideWhenUsed/>
    <w:uiPriority w:val="99"/>
    <w:rPr>
      <w:rFonts w:ascii="Calibri" w:hAnsi="Calibri" w:eastAsia="宋体" w:cs="Times New Roman"/>
      <w:sz w:val="18"/>
      <w:szCs w:val="18"/>
    </w:rPr>
  </w:style>
  <w:style w:type="paragraph" w:styleId="3">
    <w:name w:val="footer"/>
    <w:basedOn w:val="1"/>
    <w:link w:val="12"/>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uiPriority w:val="59"/>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批注框文本 Char"/>
    <w:basedOn w:val="8"/>
    <w:link w:val="2"/>
    <w:semiHidden/>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页眉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737</Words>
  <Characters>817</Characters>
  <Lines>8</Lines>
  <Paragraphs>2</Paragraphs>
  <TotalTime>0</TotalTime>
  <ScaleCrop>false</ScaleCrop>
  <LinksUpToDate>false</LinksUpToDate>
  <CharactersWithSpaces>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2019-03-29T09:44:00Z</dcterms:created>
  <dc:creator>Administrator</dc:creator>
  <cp:lastModifiedBy>WPS_1761207005</cp:lastModifiedBy>
  <cp:lastPrinted>2022-11-14T06:08:00Z</cp:lastPrinted>
  <dcterms:modified xsi:type="dcterms:W3CDTF">2026-05-07T01:06:08Z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A2DDF54932744CA2A192F3EE467A733D_13</vt:lpwstr>
  </property>
  <property fmtid="{D5CDD505-2E9C-101B-9397-08002B2CF9AE}" pid="4" name="KSOTemplateDocerSaveRecord">
    <vt:lpwstr>eyJoZGlkIjoiOTc3M2Y5NzIzMDFlZjAyY2Q4Njk5ODkyYjFjNzBiNTQiLCJ1c2VySWQiOiIxOTE2NTM4NiJ9</vt:lpwstr>
  </property>
</Properties>
</file>